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</w:pBdr>
        <w:spacing w:line="360" w:lineRule="auto"/>
        <w:ind w:left="0" w:firstLine="0"/>
        <w:jc w:val="center"/>
        <w:rPr>
          <w:rFonts w:ascii="微软雅黑" w:hAnsi="微软雅黑" w:eastAsia="微软雅黑" w:cs="微软雅黑"/>
          <w:b/>
          <w:bCs/>
          <w:caps w:val="0"/>
          <w:color w:val="000000"/>
          <w:spacing w:val="0"/>
          <w:sz w:val="36"/>
          <w:szCs w:val="36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电子科技大学中山学院关于“就业两课”的管理规定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Lines="0" w:beforeAutospacing="0" w:after="0" w:afterLines="0" w:afterAutospacing="0"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“就业两课”是指以在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大四上学期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开设《就业指导》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课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和在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大一下学期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开设《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职业生涯素养与规划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》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课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为主线构造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大学生就业指导教育体系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。学校通过“就业两课”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实现全程化、全员化和专业化的大学生就业课堂教育，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旨在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帮助学生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构建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职业生涯规划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意识，促进学生就业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。课程内容密切结合学生实际特点，注重帮助学生解决实际问题，避免单纯传授知识。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Lines="0" w:beforeAutospacing="0" w:after="0" w:afterLines="0" w:afterAutospacing="0" w:line="360" w:lineRule="auto"/>
        <w:ind w:firstLine="630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一、课程设置：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《就业指导》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《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职业生涯素养与规划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》课程纳入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本科生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教学计划，列入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实践教学模块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必修课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），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两门课程一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共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学时，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共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个学分。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面向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大一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学生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开设《职业生涯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素养与规划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》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课程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共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18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 xml:space="preserve"> 学时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0.5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个学分；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面向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大四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学生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开设《就业指导》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课程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共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学时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0.5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个学分。开课时间安排在第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—16周，具体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教学安排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由“就业两课”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教研室与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二级学院任课教师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协商后报教务处备案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。</w:t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Lines="0" w:beforeAutospacing="0" w:after="0" w:afterLines="0" w:afterAutospacing="0" w:line="360" w:lineRule="auto"/>
        <w:ind w:firstLine="420" w:firstLineChars="200"/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二、</w:t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使用</w:t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教材：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fill="FFFFFF"/>
          <w:lang w:val="en-US" w:eastAsia="zh-CN"/>
        </w:rPr>
        <w:t>文军、刘琼、李立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fill="FFFFFF"/>
        </w:rPr>
        <w:t>主编，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fill="FFFFFF"/>
          <w:lang w:val="en-US" w:eastAsia="zh-CN"/>
        </w:rPr>
        <w:t>电子科技大学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fill="FFFFFF"/>
        </w:rPr>
        <w:t>出版社的《大学生职业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fill="FFFFFF"/>
          <w:lang w:val="en-US" w:eastAsia="zh-CN"/>
        </w:rPr>
        <w:t>生涯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fill="FFFFFF"/>
        </w:rPr>
        <w:t>与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fill="FFFFFF"/>
          <w:lang w:val="en-US" w:eastAsia="zh-CN"/>
        </w:rPr>
        <w:t>发展规划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fill="FFFFFF"/>
        </w:rPr>
        <w:t>》，20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fill="FFFFFF"/>
          <w:lang w:val="en-US" w:eastAsia="zh-CN"/>
        </w:rPr>
        <w:t>19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fill="FFFFFF"/>
          <w:lang w:val="en-US" w:eastAsia="zh-CN"/>
        </w:rPr>
        <w:t>12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fill="FFFFFF"/>
        </w:rPr>
        <w:t>月第1版，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fill="FFFFFF"/>
          <w:lang w:val="en-US" w:eastAsia="zh-CN"/>
        </w:rPr>
        <w:t>2020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fill="FFFFFF"/>
        </w:rPr>
        <w:t>年9月第2次印刷。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fill="FFFFFF"/>
          <w:lang w:val="en-US" w:eastAsia="zh-CN"/>
        </w:rPr>
        <w:t>刘建中主编，电子科技大学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fill="FFFFFF"/>
        </w:rPr>
        <w:t>出版社的《大学生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fill="FFFFFF"/>
          <w:lang w:val="en-US" w:eastAsia="zh-CN"/>
        </w:rPr>
        <w:t>就业指导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fill="FFFFFF"/>
        </w:rPr>
        <w:t>》，20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fill="FFFFFF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fill="FFFFFF"/>
        </w:rPr>
        <w:t>月第1版，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fill="FFFFFF"/>
          <w:lang w:val="en-US" w:eastAsia="zh-CN"/>
        </w:rPr>
        <w:t>2020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fill="FFFFFF"/>
        </w:rPr>
        <w:t>月第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fill="FFFFFF"/>
        </w:rPr>
        <w:t>次印刷。</w:t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  </w:t>
      </w:r>
    </w:p>
    <w:p>
      <w:pPr>
        <w:pStyle w:val="4"/>
        <w:keepNext w:val="0"/>
        <w:keepLines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Lines="0" w:beforeAutospacing="0" w:after="0" w:afterLines="0" w:afterAutospacing="0" w:line="360" w:lineRule="auto"/>
        <w:ind w:firstLine="420" w:firstLineChars="200"/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三、</w:t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课程内容：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Lines="0" w:beforeAutospacing="0" w:afterLines="0" w:afterAutospacing="0" w:line="360" w:lineRule="auto"/>
        <w:ind w:right="0" w:rightChars="0"/>
        <w:jc w:val="center"/>
        <w:rPr>
          <w:rStyle w:val="7"/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大一下学期</w:t>
      </w:r>
      <w:r>
        <w:rPr>
          <w:rStyle w:val="7"/>
          <w:rFonts w:ascii="微软雅黑" w:hAnsi="微软雅黑" w:eastAsia="微软雅黑" w:cs="微软雅黑"/>
          <w:sz w:val="21"/>
          <w:szCs w:val="21"/>
        </w:rPr>
        <w:t>《职业生涯素养与规划》</w:t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课程内容</w:t>
      </w:r>
    </w:p>
    <w:tbl>
      <w:tblPr>
        <w:tblStyle w:val="5"/>
        <w:tblW w:w="87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6924"/>
        <w:gridCol w:w="1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  <w:jc w:val="center"/>
        </w:trPr>
        <w:tc>
          <w:tcPr>
            <w:tcW w:w="667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 w:asciiTheme="minorHAnsi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b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6924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 w:asciiTheme="minorHAnsi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b/>
                <w:sz w:val="21"/>
                <w:szCs w:val="21"/>
              </w:rPr>
              <w:t>基</w:t>
            </w:r>
            <w:r>
              <w:rPr>
                <w:rFonts w:hAnsi="宋体"/>
                <w:b/>
                <w:sz w:val="21"/>
                <w:szCs w:val="21"/>
              </w:rPr>
              <w:t xml:space="preserve"> </w:t>
            </w:r>
            <w:r>
              <w:rPr>
                <w:rFonts w:hint="eastAsia" w:hAnsi="宋体"/>
                <w:b/>
                <w:sz w:val="21"/>
                <w:szCs w:val="21"/>
              </w:rPr>
              <w:t>本</w:t>
            </w:r>
            <w:r>
              <w:rPr>
                <w:rFonts w:hAnsi="宋体"/>
                <w:b/>
                <w:sz w:val="21"/>
                <w:szCs w:val="21"/>
              </w:rPr>
              <w:t xml:space="preserve"> </w:t>
            </w:r>
            <w:r>
              <w:rPr>
                <w:rFonts w:hint="eastAsia" w:hAnsi="宋体"/>
                <w:b/>
                <w:sz w:val="21"/>
                <w:szCs w:val="21"/>
              </w:rPr>
              <w:t>内</w:t>
            </w:r>
            <w:r>
              <w:rPr>
                <w:rFonts w:hAnsi="宋体"/>
                <w:b/>
                <w:sz w:val="21"/>
                <w:szCs w:val="21"/>
              </w:rPr>
              <w:t xml:space="preserve"> </w:t>
            </w:r>
            <w:r>
              <w:rPr>
                <w:rFonts w:hint="eastAsia" w:hAnsi="宋体"/>
                <w:b/>
                <w:sz w:val="21"/>
                <w:szCs w:val="21"/>
              </w:rPr>
              <w:t>容</w:t>
            </w:r>
          </w:p>
        </w:tc>
        <w:tc>
          <w:tcPr>
            <w:tcW w:w="1154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both"/>
              <w:rPr>
                <w:rFonts w:hint="eastAsia" w:hAnsi="宋体" w:asciiTheme="minorHAnsi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b/>
                <w:sz w:val="21"/>
                <w:szCs w:val="21"/>
              </w:rPr>
              <w:t>计划学时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667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1</w:t>
            </w:r>
          </w:p>
        </w:tc>
        <w:tc>
          <w:tcPr>
            <w:tcW w:w="6924" w:type="dxa"/>
            <w:vAlign w:val="center"/>
          </w:tcPr>
          <w:p>
            <w:pPr>
              <w:spacing w:line="360" w:lineRule="auto"/>
              <w:ind w:firstLine="210" w:firstLineChars="10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第</w:t>
            </w:r>
            <w:r>
              <w:rPr>
                <w:rFonts w:hAnsi="宋体"/>
                <w:sz w:val="21"/>
                <w:szCs w:val="21"/>
              </w:rPr>
              <w:t>1</w:t>
            </w:r>
            <w:r>
              <w:rPr>
                <w:rFonts w:hint="eastAsia" w:hAnsi="宋体"/>
                <w:sz w:val="21"/>
                <w:szCs w:val="21"/>
              </w:rPr>
              <w:t>讲</w:t>
            </w:r>
            <w:r>
              <w:rPr>
                <w:rFonts w:hAnsi="宋体"/>
                <w:sz w:val="21"/>
                <w:szCs w:val="21"/>
              </w:rPr>
              <w:t xml:space="preserve"> </w:t>
            </w:r>
            <w:r>
              <w:rPr>
                <w:rFonts w:hint="eastAsia" w:hAnsi="宋体"/>
                <w:sz w:val="21"/>
                <w:szCs w:val="21"/>
              </w:rPr>
              <w:t>职业生涯规划概述（理论）</w:t>
            </w:r>
          </w:p>
        </w:tc>
        <w:tc>
          <w:tcPr>
            <w:tcW w:w="1154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667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2</w:t>
            </w:r>
          </w:p>
        </w:tc>
        <w:tc>
          <w:tcPr>
            <w:tcW w:w="6924" w:type="dxa"/>
            <w:vAlign w:val="center"/>
          </w:tcPr>
          <w:p>
            <w:pPr>
              <w:spacing w:line="360" w:lineRule="auto"/>
              <w:ind w:firstLine="210" w:firstLineChars="10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第</w:t>
            </w:r>
            <w:r>
              <w:rPr>
                <w:rFonts w:hAnsi="宋体"/>
                <w:sz w:val="21"/>
                <w:szCs w:val="21"/>
              </w:rPr>
              <w:t>2</w:t>
            </w:r>
            <w:r>
              <w:rPr>
                <w:rFonts w:hint="eastAsia" w:hAnsi="宋体"/>
                <w:sz w:val="21"/>
                <w:szCs w:val="21"/>
              </w:rPr>
              <w:t>讲</w:t>
            </w:r>
            <w:r>
              <w:rPr>
                <w:rFonts w:hAnsi="宋体"/>
                <w:sz w:val="21"/>
                <w:szCs w:val="21"/>
              </w:rPr>
              <w:t xml:space="preserve"> </w:t>
            </w:r>
            <w:r>
              <w:rPr>
                <w:rFonts w:hint="eastAsia" w:hAnsi="宋体"/>
                <w:sz w:val="21"/>
                <w:szCs w:val="21"/>
              </w:rPr>
              <w:t>职业认知（理论）</w:t>
            </w:r>
          </w:p>
        </w:tc>
        <w:tc>
          <w:tcPr>
            <w:tcW w:w="1154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667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Ansi="宋体"/>
                <w:sz w:val="21"/>
                <w:szCs w:val="21"/>
              </w:rPr>
              <w:t>3</w:t>
            </w:r>
          </w:p>
        </w:tc>
        <w:tc>
          <w:tcPr>
            <w:tcW w:w="6924" w:type="dxa"/>
            <w:vAlign w:val="center"/>
          </w:tcPr>
          <w:p>
            <w:pPr>
              <w:spacing w:line="360" w:lineRule="auto"/>
              <w:ind w:firstLine="210" w:firstLineChars="10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第3讲</w:t>
            </w:r>
            <w:r>
              <w:rPr>
                <w:rFonts w:hAnsi="宋体"/>
                <w:sz w:val="21"/>
                <w:szCs w:val="21"/>
              </w:rPr>
              <w:t xml:space="preserve"> </w:t>
            </w:r>
            <w:r>
              <w:rPr>
                <w:rFonts w:hint="eastAsia" w:hAnsi="宋体"/>
                <w:sz w:val="21"/>
                <w:szCs w:val="21"/>
              </w:rPr>
              <w:t>自我认知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一</w:t>
            </w:r>
            <w:r>
              <w:rPr>
                <w:rFonts w:hint="eastAsia" w:hAnsi="宋体"/>
                <w:sz w:val="21"/>
                <w:szCs w:val="21"/>
              </w:rPr>
              <w:t>（理论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1学时+实践1学时</w:t>
            </w:r>
            <w:r>
              <w:rPr>
                <w:rFonts w:hint="eastAsia" w:hAnsi="宋体"/>
                <w:sz w:val="21"/>
                <w:szCs w:val="21"/>
              </w:rPr>
              <w:t>）</w:t>
            </w:r>
          </w:p>
        </w:tc>
        <w:tc>
          <w:tcPr>
            <w:tcW w:w="1154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667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4</w:t>
            </w:r>
          </w:p>
        </w:tc>
        <w:tc>
          <w:tcPr>
            <w:tcW w:w="6924" w:type="dxa"/>
            <w:vAlign w:val="center"/>
          </w:tcPr>
          <w:p>
            <w:pPr>
              <w:spacing w:line="360" w:lineRule="auto"/>
              <w:ind w:firstLine="210" w:firstLineChars="100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第4讲 </w:t>
            </w:r>
            <w:r>
              <w:rPr>
                <w:rFonts w:hint="eastAsia" w:hAnsi="宋体"/>
                <w:sz w:val="21"/>
                <w:szCs w:val="21"/>
              </w:rPr>
              <w:t>自我认知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 w:hAnsi="宋体"/>
                <w:sz w:val="21"/>
                <w:szCs w:val="21"/>
              </w:rPr>
              <w:t>（理论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1学时+实践1学时</w:t>
            </w:r>
            <w:r>
              <w:rPr>
                <w:rFonts w:hint="eastAsia" w:hAnsi="宋体"/>
                <w:sz w:val="21"/>
                <w:szCs w:val="21"/>
              </w:rPr>
              <w:t>）</w:t>
            </w:r>
          </w:p>
        </w:tc>
        <w:tc>
          <w:tcPr>
            <w:tcW w:w="1154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667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5</w:t>
            </w:r>
          </w:p>
        </w:tc>
        <w:tc>
          <w:tcPr>
            <w:tcW w:w="6924" w:type="dxa"/>
            <w:vAlign w:val="center"/>
          </w:tcPr>
          <w:p>
            <w:pPr>
              <w:spacing w:line="360" w:lineRule="auto"/>
              <w:ind w:firstLine="210" w:firstLineChars="100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Ansi="宋体"/>
                <w:sz w:val="21"/>
                <w:szCs w:val="21"/>
              </w:rPr>
              <w:t>第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hAnsi="宋体"/>
                <w:sz w:val="21"/>
                <w:szCs w:val="21"/>
              </w:rPr>
              <w:t>讲 决策与行动计划（理论）</w:t>
            </w:r>
          </w:p>
        </w:tc>
        <w:tc>
          <w:tcPr>
            <w:tcW w:w="115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</w:rPr>
              <w:t>2学时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6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6</w:t>
            </w:r>
          </w:p>
        </w:tc>
        <w:tc>
          <w:tcPr>
            <w:tcW w:w="692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Ansi="宋体"/>
                <w:sz w:val="21"/>
                <w:szCs w:val="21"/>
              </w:rPr>
              <w:t>第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hAnsi="宋体"/>
                <w:sz w:val="21"/>
                <w:szCs w:val="21"/>
              </w:rPr>
              <w:t>讲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hAnsi="宋体"/>
                <w:sz w:val="21"/>
                <w:szCs w:val="21"/>
              </w:rPr>
              <w:t>北森职业生涯规划测评（实践）</w:t>
            </w:r>
          </w:p>
        </w:tc>
        <w:tc>
          <w:tcPr>
            <w:tcW w:w="115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hAnsi="宋体"/>
                <w:sz w:val="21"/>
                <w:szCs w:val="21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  <w:jc w:val="center"/>
        </w:trPr>
        <w:tc>
          <w:tcPr>
            <w:tcW w:w="6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7</w:t>
            </w:r>
          </w:p>
        </w:tc>
        <w:tc>
          <w:tcPr>
            <w:tcW w:w="69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Ansi="宋体"/>
                <w:sz w:val="21"/>
                <w:szCs w:val="21"/>
              </w:rPr>
              <w:t>第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hAnsi="宋体"/>
                <w:sz w:val="21"/>
                <w:szCs w:val="21"/>
              </w:rPr>
              <w:t>讲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hAnsi="宋体"/>
                <w:sz w:val="21"/>
                <w:szCs w:val="21"/>
              </w:rPr>
              <w:t>生涯人物访谈（实践）</w:t>
            </w:r>
          </w:p>
        </w:tc>
        <w:tc>
          <w:tcPr>
            <w:tcW w:w="11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hAnsi="宋体"/>
                <w:sz w:val="21"/>
                <w:szCs w:val="21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" w:hRule="atLeast"/>
          <w:jc w:val="center"/>
        </w:trPr>
        <w:tc>
          <w:tcPr>
            <w:tcW w:w="667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924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ind w:left="1050" w:leftChars="100" w:hanging="840" w:hangingChars="400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Ansi="宋体"/>
                <w:sz w:val="21"/>
                <w:szCs w:val="21"/>
              </w:rPr>
              <w:t>第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hAnsi="宋体"/>
                <w:sz w:val="21"/>
                <w:szCs w:val="21"/>
              </w:rPr>
              <w:t>讲 职业生涯规划大赛、观摩宣讲会或招聘会的心得体会、实习实践经验分享会（实践）</w:t>
            </w:r>
          </w:p>
        </w:tc>
        <w:tc>
          <w:tcPr>
            <w:tcW w:w="1154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hAnsi="宋体"/>
                <w:sz w:val="21"/>
                <w:szCs w:val="21"/>
              </w:rPr>
              <w:t>学时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uto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大四上学期《就业指导》课程内容</w:t>
      </w:r>
    </w:p>
    <w:tbl>
      <w:tblPr>
        <w:tblStyle w:val="5"/>
        <w:tblW w:w="8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6924"/>
        <w:gridCol w:w="1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667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1"/>
                <w:szCs w:val="21"/>
              </w:rPr>
            </w:pPr>
            <w:r>
              <w:rPr>
                <w:rFonts w:hint="eastAsia" w:hAnsi="宋体"/>
                <w:b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6924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1"/>
                <w:szCs w:val="21"/>
              </w:rPr>
            </w:pPr>
            <w:r>
              <w:rPr>
                <w:rFonts w:hint="eastAsia" w:hAnsi="宋体"/>
                <w:b/>
                <w:sz w:val="21"/>
                <w:szCs w:val="21"/>
              </w:rPr>
              <w:t>基 本 内 容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auto"/>
              <w:ind w:firstLine="105" w:firstLineChars="50"/>
              <w:rPr>
                <w:rFonts w:hAnsi="宋体"/>
                <w:b/>
                <w:sz w:val="21"/>
                <w:szCs w:val="21"/>
              </w:rPr>
            </w:pPr>
            <w:r>
              <w:rPr>
                <w:rFonts w:hint="eastAsia" w:hAnsi="宋体"/>
                <w:b/>
                <w:sz w:val="21"/>
                <w:szCs w:val="21"/>
              </w:rPr>
              <w:t>计划学时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667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1</w:t>
            </w:r>
          </w:p>
        </w:tc>
        <w:tc>
          <w:tcPr>
            <w:tcW w:w="6924" w:type="dxa"/>
            <w:vAlign w:val="center"/>
          </w:tcPr>
          <w:p>
            <w:pPr>
              <w:spacing w:line="360" w:lineRule="auto"/>
              <w:ind w:firstLine="210" w:firstLineChars="100"/>
              <w:rPr>
                <w:rFonts w:hint="default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</w:rPr>
              <w:t>第1讲  就业形势</w:t>
            </w:r>
            <w:r>
              <w:rPr>
                <w:rFonts w:hint="eastAsia" w:hAnsi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hAnsi="宋体"/>
                <w:sz w:val="21"/>
                <w:szCs w:val="21"/>
              </w:rPr>
              <w:t>政策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及毕业去向分析（理论教学）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  <w:jc w:val="center"/>
        </w:trPr>
        <w:tc>
          <w:tcPr>
            <w:tcW w:w="667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</w:t>
            </w:r>
          </w:p>
        </w:tc>
        <w:tc>
          <w:tcPr>
            <w:tcW w:w="6924" w:type="dxa"/>
            <w:vAlign w:val="center"/>
          </w:tcPr>
          <w:p>
            <w:pPr>
              <w:spacing w:line="360" w:lineRule="auto"/>
              <w:ind w:firstLine="210" w:firstLineChars="100"/>
              <w:rPr>
                <w:rFonts w:hint="default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Ansi="宋体"/>
                <w:sz w:val="21"/>
                <w:szCs w:val="21"/>
              </w:rPr>
              <w:t>第</w:t>
            </w:r>
            <w:r>
              <w:rPr>
                <w:rFonts w:hint="eastAsia" w:hAnsi="宋体"/>
                <w:sz w:val="21"/>
                <w:szCs w:val="21"/>
              </w:rPr>
              <w:t xml:space="preserve">2讲  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求职准备之心理及材料准备（理论教学）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2学时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667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3</w:t>
            </w:r>
          </w:p>
        </w:tc>
        <w:tc>
          <w:tcPr>
            <w:tcW w:w="6924" w:type="dxa"/>
            <w:vAlign w:val="center"/>
          </w:tcPr>
          <w:p>
            <w:pPr>
              <w:spacing w:line="360" w:lineRule="auto"/>
              <w:rPr>
                <w:rFonts w:hint="default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</w:rPr>
              <w:t xml:space="preserve">  </w:t>
            </w:r>
            <w:r>
              <w:rPr>
                <w:rFonts w:hAnsi="宋体"/>
                <w:sz w:val="21"/>
                <w:szCs w:val="21"/>
              </w:rPr>
              <w:t>第</w:t>
            </w:r>
            <w:r>
              <w:rPr>
                <w:rFonts w:hint="eastAsia" w:hAnsi="宋体"/>
                <w:sz w:val="21"/>
                <w:szCs w:val="21"/>
              </w:rPr>
              <w:t>3讲  求职准备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之面试策略与礼仪（理论教学）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hAnsi="宋体"/>
                <w:sz w:val="21"/>
                <w:szCs w:val="21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667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4</w:t>
            </w:r>
          </w:p>
        </w:tc>
        <w:tc>
          <w:tcPr>
            <w:tcW w:w="6924" w:type="dxa"/>
            <w:vAlign w:val="center"/>
          </w:tcPr>
          <w:p>
            <w:pPr>
              <w:spacing w:line="360" w:lineRule="auto"/>
              <w:ind w:firstLine="210" w:firstLineChars="100"/>
              <w:rPr>
                <w:rFonts w:hint="default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</w:rPr>
              <w:t xml:space="preserve">第4讲  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就业权益保护（理论教学）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hAnsi="宋体"/>
                <w:sz w:val="21"/>
                <w:szCs w:val="21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667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5</w:t>
            </w:r>
          </w:p>
        </w:tc>
        <w:tc>
          <w:tcPr>
            <w:tcW w:w="6924" w:type="dxa"/>
            <w:vAlign w:val="center"/>
          </w:tcPr>
          <w:p>
            <w:pPr>
              <w:spacing w:line="360" w:lineRule="auto"/>
              <w:ind w:firstLine="210" w:firstLineChars="100"/>
              <w:rPr>
                <w:rFonts w:hint="default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</w:rPr>
              <w:t>第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hAnsi="宋体"/>
                <w:sz w:val="21"/>
                <w:szCs w:val="21"/>
              </w:rPr>
              <w:t>讲  就业系统的运用</w:t>
            </w:r>
            <w:r>
              <w:rPr>
                <w:rFonts w:hint="eastAsia" w:hAnsi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就业推荐表及登记表的填写（实践教学）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hAnsi="宋体"/>
                <w:sz w:val="21"/>
                <w:szCs w:val="21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667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6</w:t>
            </w:r>
          </w:p>
        </w:tc>
        <w:tc>
          <w:tcPr>
            <w:tcW w:w="6924" w:type="dxa"/>
            <w:vAlign w:val="center"/>
          </w:tcPr>
          <w:p>
            <w:pPr>
              <w:spacing w:line="360" w:lineRule="auto"/>
              <w:ind w:firstLine="210" w:firstLineChars="100"/>
              <w:rPr>
                <w:rFonts w:hint="default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</w:rPr>
              <w:t>第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hAnsi="宋体"/>
                <w:sz w:val="21"/>
                <w:szCs w:val="21"/>
              </w:rPr>
              <w:t>讲  绘制家庭职业树</w:t>
            </w:r>
            <w:r>
              <w:rPr>
                <w:rFonts w:hint="eastAsia" w:hAnsi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案例分析（实践教学）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hAnsi="宋体"/>
                <w:sz w:val="21"/>
                <w:szCs w:val="21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667" w:type="dxa"/>
            <w:vAlign w:val="center"/>
          </w:tcPr>
          <w:p>
            <w:pPr>
              <w:spacing w:line="360" w:lineRule="auto"/>
              <w:jc w:val="center"/>
              <w:rPr>
                <w:rFonts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</w:rPr>
              <w:t>7</w:t>
            </w:r>
          </w:p>
        </w:tc>
        <w:tc>
          <w:tcPr>
            <w:tcW w:w="6924" w:type="dxa"/>
            <w:vAlign w:val="center"/>
          </w:tcPr>
          <w:p>
            <w:pPr>
              <w:spacing w:line="360" w:lineRule="auto"/>
              <w:ind w:firstLine="210" w:firstLineChars="10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</w:rPr>
              <w:t>第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hAnsi="宋体"/>
                <w:sz w:val="21"/>
                <w:szCs w:val="21"/>
              </w:rPr>
              <w:t>讲  简历的修改与定稿</w:t>
            </w:r>
            <w:r>
              <w:rPr>
                <w:rFonts w:hint="eastAsia" w:hAnsi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hAnsi="宋体"/>
                <w:sz w:val="21"/>
                <w:szCs w:val="21"/>
              </w:rPr>
              <w:t>情景模拟：求职面试的应对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（实践教学）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hAnsi="宋体"/>
                <w:sz w:val="21"/>
                <w:szCs w:val="21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667" w:type="dxa"/>
            <w:vAlign w:val="center"/>
          </w:tcPr>
          <w:p>
            <w:pPr>
              <w:spacing w:line="360" w:lineRule="auto"/>
              <w:jc w:val="center"/>
              <w:rPr>
                <w:rFonts w:hint="eastAsia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924" w:type="dxa"/>
            <w:vAlign w:val="center"/>
          </w:tcPr>
          <w:p>
            <w:pPr>
              <w:spacing w:line="360" w:lineRule="auto"/>
              <w:ind w:firstLine="210" w:firstLineChars="100"/>
              <w:rPr>
                <w:rFonts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</w:rPr>
              <w:t>第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hAnsi="宋体"/>
                <w:sz w:val="21"/>
                <w:szCs w:val="21"/>
              </w:rPr>
              <w:t>讲  求职面试实操：宣讲会、简历投递与初次面试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（实践教学）</w:t>
            </w:r>
          </w:p>
        </w:tc>
        <w:tc>
          <w:tcPr>
            <w:tcW w:w="119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4学时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66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692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10" w:firstLineChars="100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</w:rPr>
              <w:t>第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hAnsi="宋体"/>
                <w:sz w:val="21"/>
                <w:szCs w:val="21"/>
              </w:rPr>
              <w:t xml:space="preserve">讲  </w:t>
            </w:r>
            <w:r>
              <w:rPr>
                <w:rFonts w:hint="eastAsia" w:hAnsi="宋体"/>
                <w:sz w:val="21"/>
                <w:szCs w:val="21"/>
                <w:lang w:val="en-US" w:eastAsia="zh-CN"/>
              </w:rPr>
              <w:t>课程报告（实践教学）</w:t>
            </w:r>
          </w:p>
        </w:tc>
        <w:tc>
          <w:tcPr>
            <w:tcW w:w="119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hAnsi="宋体"/>
                <w:sz w:val="21"/>
                <w:szCs w:val="21"/>
              </w:rPr>
              <w:t>学时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Autospacing="0"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四、开课对象：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电子科技大学中山学院全日制在校生。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Autospacing="0"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五、师资来源：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二级学院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辅导员</w:t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Autospacing="0"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六、教学方式的设计：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理论教学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案例教学，小组讨论，反馈式教学（咨询指导），参与式教学（外出调研与模拟招聘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Autospacing="0" w:afterAutospacing="0"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七、课程考核的方式：</w:t>
      </w:r>
    </w:p>
    <w:tbl>
      <w:tblPr>
        <w:tblStyle w:val="5"/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1710"/>
        <w:gridCol w:w="1710"/>
        <w:gridCol w:w="1710"/>
        <w:gridCol w:w="19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   考核内容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课程名称</w:t>
            </w:r>
          </w:p>
        </w:tc>
        <w:tc>
          <w:tcPr>
            <w:tcW w:w="17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课堂表现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%）</w:t>
            </w:r>
          </w:p>
        </w:tc>
        <w:tc>
          <w:tcPr>
            <w:tcW w:w="17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 xml:space="preserve">课堂作业 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%）</w:t>
            </w:r>
          </w:p>
        </w:tc>
        <w:tc>
          <w:tcPr>
            <w:tcW w:w="17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实践考核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%）</w:t>
            </w:r>
          </w:p>
        </w:tc>
        <w:tc>
          <w:tcPr>
            <w:tcW w:w="19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考核时间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《大学生职业生涯教育课》</w:t>
            </w:r>
          </w:p>
        </w:tc>
        <w:tc>
          <w:tcPr>
            <w:tcW w:w="17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以学生的课堂考勤和课堂表现为依据打分，由任课教师评定</w:t>
            </w:r>
          </w:p>
        </w:tc>
        <w:tc>
          <w:tcPr>
            <w:tcW w:w="17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以学生撰写的《职业生涯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规划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报告》为依据打分，由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任课教师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评定</w:t>
            </w:r>
          </w:p>
        </w:tc>
        <w:tc>
          <w:tcPr>
            <w:tcW w:w="17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以学生参加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自我认知探索活动、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北森职业生涯规划测评、生涯人物访谈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等实践部分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的表现打分，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由任课教师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评定</w:t>
            </w:r>
          </w:p>
        </w:tc>
        <w:tc>
          <w:tcPr>
            <w:tcW w:w="19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由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任课教师在课程结束后评定成绩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，将成绩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录入教务系统并将授课资料报招生与就业处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备案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《大学生就业指导课》</w:t>
            </w:r>
          </w:p>
        </w:tc>
        <w:tc>
          <w:tcPr>
            <w:tcW w:w="17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以学生的课堂考勤和课堂表现为依据打分，由任课教师评定</w:t>
            </w:r>
          </w:p>
        </w:tc>
        <w:tc>
          <w:tcPr>
            <w:tcW w:w="17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以学生的就业简历为依据打分，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由任课教师评定</w:t>
            </w:r>
          </w:p>
        </w:tc>
        <w:tc>
          <w:tcPr>
            <w:tcW w:w="171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以学生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参与情景模拟、案例分析等实践教学表现以及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就业的实际表现（包括就业技能和就业情况）为依据打分，由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授课教师评定</w:t>
            </w:r>
          </w:p>
        </w:tc>
        <w:tc>
          <w:tcPr>
            <w:tcW w:w="195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由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授课教师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在大四第二学期期末汇总各项考核内容的成绩后进行评定，将成绩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录入教务系统，并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报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lang w:val="en-US" w:eastAsia="zh-CN"/>
              </w:rPr>
              <w:t>招生与就业处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备案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八、教学效果的评估：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就业两课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教研室组织互相听课、随机抽查听课、学生评价等形式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FFFFFF"/>
        </w:rPr>
        <w:t>，对教学效果进行评价。评价标准以《电子科技大学中山学院听课本》中的相关规定为依据。</w:t>
      </w:r>
    </w:p>
    <w:p>
      <w:pPr>
        <w:spacing w:line="360" w:lineRule="auto"/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1OTJiOGYxZjA5YjM0ZDE0OTBjOWMxM2IyMTkzODMifQ=="/>
  </w:docVars>
  <w:rsids>
    <w:rsidRoot w:val="37A554C6"/>
    <w:rsid w:val="006D6F3B"/>
    <w:rsid w:val="00A10FE1"/>
    <w:rsid w:val="02B02175"/>
    <w:rsid w:val="03B57179"/>
    <w:rsid w:val="0A0A792C"/>
    <w:rsid w:val="15A75485"/>
    <w:rsid w:val="189A2813"/>
    <w:rsid w:val="1ED57D2E"/>
    <w:rsid w:val="271716FA"/>
    <w:rsid w:val="27787D8C"/>
    <w:rsid w:val="283C6F09"/>
    <w:rsid w:val="29696B2B"/>
    <w:rsid w:val="343139BA"/>
    <w:rsid w:val="34607A51"/>
    <w:rsid w:val="37A554C6"/>
    <w:rsid w:val="386A1004"/>
    <w:rsid w:val="3B1B2B15"/>
    <w:rsid w:val="3BCF77B7"/>
    <w:rsid w:val="3F565027"/>
    <w:rsid w:val="40BA1D0E"/>
    <w:rsid w:val="41D933E3"/>
    <w:rsid w:val="471112AA"/>
    <w:rsid w:val="4CEC60BF"/>
    <w:rsid w:val="4E946A08"/>
    <w:rsid w:val="4FD712A8"/>
    <w:rsid w:val="5015592D"/>
    <w:rsid w:val="51C41CA4"/>
    <w:rsid w:val="52041D74"/>
    <w:rsid w:val="52E60C1F"/>
    <w:rsid w:val="535B06A3"/>
    <w:rsid w:val="53710B72"/>
    <w:rsid w:val="58834D0D"/>
    <w:rsid w:val="5B1B3D78"/>
    <w:rsid w:val="600A3507"/>
    <w:rsid w:val="6E7D0E15"/>
    <w:rsid w:val="7A8C795F"/>
    <w:rsid w:val="7BB8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line="360" w:lineRule="auto"/>
      <w:jc w:val="center"/>
      <w:outlineLvl w:val="0"/>
    </w:pPr>
    <w:rPr>
      <w:rFonts w:eastAsia="微软雅黑" w:asciiTheme="minorAscii" w:hAnsiTheme="minorAscii"/>
      <w:bCs/>
      <w:kern w:val="44"/>
      <w:sz w:val="2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标题 1 字符"/>
    <w:basedOn w:val="6"/>
    <w:link w:val="2"/>
    <w:qFormat/>
    <w:uiPriority w:val="9"/>
    <w:rPr>
      <w:rFonts w:eastAsia="微软雅黑" w:asciiTheme="minorAscii" w:hAnsiTheme="minorAscii"/>
      <w:bCs/>
      <w:kern w:val="44"/>
      <w:sz w:val="2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1487</Words>
  <Characters>1514</Characters>
  <Lines>0</Lines>
  <Paragraphs>0</Paragraphs>
  <TotalTime>25</TotalTime>
  <ScaleCrop>false</ScaleCrop>
  <LinksUpToDate>false</LinksUpToDate>
  <CharactersWithSpaces>1558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2022-11-22T00:54:00Z</dcterms:created>
  <dc:creator>Administrator</dc:creator>
  <cp:lastModifiedBy>Administrator</cp:lastModifiedBy>
  <dcterms:modified xsi:type="dcterms:W3CDTF">2022-11-24T01:30:48Z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DFE3C739B7DD48E99F7A1AA1059C0FD3</vt:lpwstr>
  </property>
</Properties>
</file>