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line="360" w:lineRule="auto"/>
        <w:ind w:left="0" w:firstLine="0"/>
        <w:jc w:val="center"/>
        <w:rPr>
          <w:rFonts w:ascii="微软雅黑" w:hAnsi="微软雅黑" w:eastAsia="微软雅黑" w:cs="微软雅黑"/>
          <w:b/>
          <w:bCs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电子科技大学中山学院关于“就业两课”的管理规定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“就业两课”是指以在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大四上学期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开设《就业指导》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大一下学期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开设《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职业生涯素养与规划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为主线构造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大学生就业指导教育体系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。学校通过“就业两课”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实现全程化、全员化和专业化的大学生就业课堂教育，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旨在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帮助学生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构建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职业生涯规划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意识，促进学生就业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。课程内容密切结合学生实际特点，注重帮助学生解决实际问题，避免单纯传授知识。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一、课程设置：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《就业指导》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职业生涯素养与规划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》课程纳入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本科生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教学计划，列入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实践教学模块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必修课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两门课程一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个学分。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面向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开设《职业生涯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素养与规划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学时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0.5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个学分；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面向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大四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开设《就业指导》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0.5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个学分。开课时间安排在第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—16周，具体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教学安排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由“就业两课”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教研室与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二级学院任课教师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协商后报教务处备案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360" w:lineRule="auto"/>
        <w:ind w:firstLine="420" w:firstLineChars="200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使用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教材：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文军、刘琼、李立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主编，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电子科技大学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出版社的《大学生职业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生涯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发展规划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》，20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月第1版，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年9月第2次印刷。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刘建中主编，电子科技大学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出版社的《大学生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就业指导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》，20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月第1版，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月第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</w:rPr>
        <w:t>次印刷。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</w:p>
    <w:p>
      <w:pPr>
        <w:pStyle w:val="4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360" w:lineRule="auto"/>
        <w:ind w:firstLine="420" w:firstLineChars="200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三、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课程内容：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Lines="0" w:beforeAutospacing="0" w:afterLines="0" w:afterAutospacing="0" w:line="360" w:lineRule="auto"/>
        <w:ind w:right="0" w:rightChars="0"/>
        <w:jc w:val="center"/>
        <w:rPr>
          <w:rStyle w:val="7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大一下学期</w:t>
      </w:r>
      <w:r>
        <w:rPr>
          <w:rStyle w:val="7"/>
          <w:rFonts w:ascii="微软雅黑" w:hAnsi="微软雅黑" w:eastAsia="微软雅黑" w:cs="微软雅黑"/>
          <w:sz w:val="21"/>
          <w:szCs w:val="21"/>
        </w:rPr>
        <w:t>《职业生涯素养与规划》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课程内容</w:t>
      </w:r>
    </w:p>
    <w:tbl>
      <w:tblPr>
        <w:tblStyle w:val="5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92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 w:asci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92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 w:asci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基</w:t>
            </w:r>
            <w:r>
              <w:rPr>
                <w:rFonts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sz w:val="21"/>
                <w:szCs w:val="21"/>
              </w:rPr>
              <w:t>本</w:t>
            </w:r>
            <w:r>
              <w:rPr>
                <w:rFonts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sz w:val="21"/>
                <w:szCs w:val="21"/>
              </w:rPr>
              <w:t>内</w:t>
            </w:r>
            <w:r>
              <w:rPr>
                <w:rFonts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b/>
                <w:sz w:val="21"/>
                <w:szCs w:val="21"/>
              </w:rPr>
              <w:t>容</w:t>
            </w:r>
          </w:p>
        </w:tc>
        <w:tc>
          <w:tcPr>
            <w:tcW w:w="115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both"/>
              <w:rPr>
                <w:rFonts w:hint="eastAsia" w:hAnsi="宋体" w:asci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计划学时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Ansi="宋体"/>
                <w:sz w:val="21"/>
                <w:szCs w:val="21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讲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职业生涯规划概述（理论）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Ansi="宋体"/>
                <w:sz w:val="21"/>
                <w:szCs w:val="21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讲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职业认知（理论）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3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第3讲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自我认知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hAnsi="宋体"/>
                <w:sz w:val="21"/>
                <w:szCs w:val="21"/>
              </w:rPr>
              <w:t>（理论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1学时+实践1学时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第4讲 </w:t>
            </w:r>
            <w:r>
              <w:rPr>
                <w:rFonts w:hint="eastAsia" w:hAnsi="宋体"/>
                <w:sz w:val="21"/>
                <w:szCs w:val="21"/>
              </w:rPr>
              <w:t>自我认知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hAnsi="宋体"/>
                <w:sz w:val="21"/>
                <w:szCs w:val="21"/>
              </w:rPr>
              <w:t>（理论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1学时+实践1学时</w:t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讲 决策与行动计划（理论）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</w:t>
            </w:r>
          </w:p>
        </w:tc>
        <w:tc>
          <w:tcPr>
            <w:tcW w:w="69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宋体"/>
                <w:sz w:val="21"/>
                <w:szCs w:val="21"/>
              </w:rPr>
              <w:t>讲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北森职业生涯规划测评（实践）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</w:t>
            </w:r>
          </w:p>
        </w:tc>
        <w:tc>
          <w:tcPr>
            <w:tcW w:w="6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宋体"/>
                <w:sz w:val="21"/>
                <w:szCs w:val="21"/>
              </w:rPr>
              <w:t>讲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生涯人物访谈（实践）</w:t>
            </w:r>
          </w:p>
        </w:tc>
        <w:tc>
          <w:tcPr>
            <w:tcW w:w="11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jc w:val="center"/>
        </w:trPr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2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left="1050" w:leftChars="100" w:hanging="840" w:hangingChars="4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hAnsi="宋体"/>
                <w:sz w:val="21"/>
                <w:szCs w:val="21"/>
              </w:rPr>
              <w:t>讲 职业生涯规划大赛、观摩宣讲会或招聘会的心得体会、实习实践经验分享会（实践）</w:t>
            </w:r>
          </w:p>
        </w:tc>
        <w:tc>
          <w:tcPr>
            <w:tcW w:w="115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大四上学期《就业指导》课程内容</w:t>
      </w:r>
    </w:p>
    <w:tbl>
      <w:tblPr>
        <w:tblStyle w:val="5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92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基 本 内 容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计划学时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第1讲  就业形势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政策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及毕业去向分析（理论教学）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</w:rPr>
              <w:t xml:space="preserve">2讲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求职准备之心理及材料准备（理论教学）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3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  </w:t>
            </w:r>
            <w:r>
              <w:rPr>
                <w:rFonts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</w:rPr>
              <w:t>3讲  求职准备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之面试策略与礼仪（理论教学）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4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第4讲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就业权益保护（理论教学）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5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/>
                <w:sz w:val="21"/>
                <w:szCs w:val="21"/>
              </w:rPr>
              <w:t>讲  就业系统的运用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就业推荐表及登记表的填写（实践教学）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6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讲  绘制家庭职业树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案例分析（实践教学）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7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宋体"/>
                <w:sz w:val="21"/>
                <w:szCs w:val="21"/>
              </w:rPr>
              <w:t>讲  简历的修改与定稿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 w:val="21"/>
                <w:szCs w:val="21"/>
              </w:rPr>
              <w:t>情景模拟：求职面试的应对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（实践教学）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24" w:type="dxa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hAnsi="宋体"/>
                <w:sz w:val="21"/>
                <w:szCs w:val="21"/>
              </w:rPr>
              <w:t>讲  求职面试实操：宣讲会、简历投递与初次面试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（实践教学）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92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</w:rPr>
              <w:t>第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hAnsi="宋体"/>
                <w:sz w:val="21"/>
                <w:szCs w:val="21"/>
              </w:rPr>
              <w:t xml:space="preserve">讲  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课程报告（实践教学）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sz w:val="21"/>
                <w:szCs w:val="21"/>
              </w:rPr>
              <w:t>学时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四、开课对象：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电子科技大学中山学院全日制在校生。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五、师资来源：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二级学院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辅导员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六、教学方式的设计：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理论教学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案例教学，小组讨论，反馈式教学（咨询指导），参与式教学（外出调研与模拟招聘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七、课程考核的方式：</w:t>
      </w:r>
    </w:p>
    <w:tbl>
      <w:tblPr>
        <w:tblStyle w:val="5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710"/>
        <w:gridCol w:w="1710"/>
        <w:gridCol w:w="1710"/>
        <w:gridCol w:w="19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  考核内容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课堂表现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%）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课堂作业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%）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实践考核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%）</w:t>
            </w:r>
          </w:p>
        </w:tc>
        <w:tc>
          <w:tcPr>
            <w:tcW w:w="1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考核时间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《大学生职业生涯教育课》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以学生的课堂考勤和课堂表现为依据打分，由任课教师评定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以学生撰写的《职业生涯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规划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报告》为依据打分，由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任课教师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评定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以学生参加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自我认知探索活动、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北森职业生涯规划测评、生涯人物访谈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等实践部分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的表现打分，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由任课教师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评定</w:t>
            </w:r>
          </w:p>
        </w:tc>
        <w:tc>
          <w:tcPr>
            <w:tcW w:w="1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任课教师在课程结束后评定成绩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，将成绩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录入教务系统并将授课资料报招生与就业处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备案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《大学生就业指导课》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以学生的课堂考勤和课堂表现为依据打分，由任课教师评定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以学生的就业简历为依据打分，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由任课教师评定</w:t>
            </w:r>
          </w:p>
        </w:tc>
        <w:tc>
          <w:tcPr>
            <w:tcW w:w="171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以学生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参与情景模拟、案例分析等实践教学表现以及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就业的实际表现（包括就业技能和就业情况）为依据打分，由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授课教师评定</w:t>
            </w:r>
          </w:p>
        </w:tc>
        <w:tc>
          <w:tcPr>
            <w:tcW w:w="1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由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授课教师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在大四第二学期期末汇总各项考核内容的成绩后进行评定，将成绩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录入教务系统，并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报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招生与就业处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备案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八、教学效果的评估：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就业两课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教研室组织互相听课、随机抽查听课、学生评价等形式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，对教学效果进行评价。评价标准以《电子科技大学中山学院听课本》中的相关规定为依据。</w:t>
      </w:r>
    </w:p>
    <w:p>
      <w:pPr>
        <w:spacing w:line="360" w:lineRule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TJiOGYxZjA5YjM0ZDE0OTBjOWMxM2IyMTkzODMifQ=="/>
  </w:docVars>
  <w:rsids>
    <w:rsidRoot w:val="37A554C6"/>
    <w:rsid w:val="006D6F3B"/>
    <w:rsid w:val="00A10FE1"/>
    <w:rsid w:val="02B02175"/>
    <w:rsid w:val="03B57179"/>
    <w:rsid w:val="0A0A792C"/>
    <w:rsid w:val="15A75485"/>
    <w:rsid w:val="189A2813"/>
    <w:rsid w:val="1ED57D2E"/>
    <w:rsid w:val="271716FA"/>
    <w:rsid w:val="27787D8C"/>
    <w:rsid w:val="283C6F09"/>
    <w:rsid w:val="29696B2B"/>
    <w:rsid w:val="343139BA"/>
    <w:rsid w:val="34607A51"/>
    <w:rsid w:val="37A554C6"/>
    <w:rsid w:val="386A1004"/>
    <w:rsid w:val="3B1B2B15"/>
    <w:rsid w:val="3BCF77B7"/>
    <w:rsid w:val="3F565027"/>
    <w:rsid w:val="40BA1D0E"/>
    <w:rsid w:val="41D933E3"/>
    <w:rsid w:val="471112AA"/>
    <w:rsid w:val="4CEC60BF"/>
    <w:rsid w:val="4E946A08"/>
    <w:rsid w:val="4FD712A8"/>
    <w:rsid w:val="5015592D"/>
    <w:rsid w:val="51C41CA4"/>
    <w:rsid w:val="52041D74"/>
    <w:rsid w:val="52E60C1F"/>
    <w:rsid w:val="535B06A3"/>
    <w:rsid w:val="53710B72"/>
    <w:rsid w:val="58834D0D"/>
    <w:rsid w:val="5B1B3D78"/>
    <w:rsid w:val="600A3507"/>
    <w:rsid w:val="6E7D0E15"/>
    <w:rsid w:val="7A8C795F"/>
    <w:rsid w:val="7BB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jc w:val="center"/>
      <w:outlineLvl w:val="0"/>
    </w:pPr>
    <w:rPr>
      <w:rFonts w:eastAsia="微软雅黑" w:asciiTheme="minorAscii" w:hAnsiTheme="minorAscii"/>
      <w:bCs/>
      <w:kern w:val="44"/>
      <w:sz w:val="2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1 字符"/>
    <w:basedOn w:val="6"/>
    <w:link w:val="2"/>
    <w:qFormat/>
    <w:uiPriority w:val="9"/>
    <w:rPr>
      <w:rFonts w:eastAsia="微软雅黑" w:asciiTheme="minorAscii" w:hAnsiTheme="minorAscii"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1487</Words>
  <Characters>1514</Characters>
  <Lines>0</Lines>
  <Paragraphs>0</Paragraphs>
  <TotalTime>25</TotalTime>
  <ScaleCrop>false</ScaleCrop>
  <LinksUpToDate>false</LinksUpToDate>
  <CharactersWithSpaces>1558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2022-11-22T00:54:00Z</dcterms:created>
  <dc:creator>Administrator</dc:creator>
  <cp:lastModifiedBy>Administrator</cp:lastModifiedBy>
  <dcterms:modified xsi:type="dcterms:W3CDTF">2022-11-24T01:30:48Z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DFE3C739B7DD48E99F7A1AA1059C0FD3</vt:lpwstr>
  </property>
</Properties>
</file>